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RM6261 Mobile Voice and Data Services.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w:t>
                  </w:r>
                  <w:r w:rsidDel="00000000" w:rsidR="00000000" w:rsidRPr="00000000">
                    <w:rPr>
                      <w:rFonts w:ascii="Arial" w:cs="Arial" w:eastAsia="Arial" w:hAnsi="Arial"/>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sz w:val="24"/>
                <w:szCs w:val="24"/>
                <w:highlight w:val="yellow"/>
                <w:rtl w:val="0"/>
              </w:rPr>
              <w:t xml:space="preserve">in Lot(s) [x, y]</w:t>
            </w:r>
            <w:r w:rsidDel="00000000" w:rsidR="00000000" w:rsidRPr="00000000">
              <w:rPr>
                <w:rFonts w:ascii="Arial" w:cs="Arial" w:eastAsia="Arial" w:hAnsi="Arial"/>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This opportunity is advertised in the Contract Notice in the Find a Tender Service reference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reference number]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general description of the Deliverables, by Lot if relevant]</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1 (Specification) for further details.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Start Date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7">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Expiry Date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2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Optional</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Period</w:t>
            </w:r>
          </w:p>
        </w:tc>
        <w:tc>
          <w:tcPr/>
          <w:p w:rsidR="00000000" w:rsidDel="00000000" w:rsidP="00000000" w:rsidRDefault="00000000" w:rsidRPr="00000000" w14:paraId="0000003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detail about extensions of this contract]</w:t>
            </w:r>
          </w:p>
          <w:p w:rsidR="00000000" w:rsidDel="00000000" w:rsidP="00000000" w:rsidRDefault="00000000" w:rsidRPr="00000000" w14:paraId="0000003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tc>
      </w:tr>
      <w:tr>
        <w:trPr>
          <w:cantSplit w:val="0"/>
          <w:trHeight w:val="837" w:hRule="atLeast"/>
          <w:tblHeader w:val="0"/>
        </w:trPr>
        <w:tc>
          <w:tcPr/>
          <w:p w:rsidR="00000000" w:rsidDel="00000000" w:rsidP="00000000" w:rsidRDefault="00000000" w:rsidRPr="00000000" w14:paraId="0000003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Procedure</w:t>
            </w:r>
          </w:p>
        </w:tc>
        <w:tc>
          <w:tcPr/>
          <w:p w:rsidR="00000000" w:rsidDel="00000000" w:rsidP="00000000" w:rsidRDefault="00000000" w:rsidRPr="00000000" w14:paraId="00000036">
            <w:pPr>
              <w:spacing w:after="0" w:lineRule="auto"/>
              <w:ind w:right="936"/>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any not relevant:]</w:t>
            </w:r>
          </w:p>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[direct award] </w:t>
            </w:r>
          </w:p>
          <w:p w:rsidR="00000000" w:rsidDel="00000000" w:rsidP="00000000" w:rsidRDefault="00000000" w:rsidRPr="00000000" w14:paraId="00000038">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[further competition]</w:t>
            </w:r>
          </w:p>
          <w:p w:rsidR="00000000" w:rsidDel="00000000" w:rsidP="00000000" w:rsidRDefault="00000000" w:rsidRPr="00000000" w14:paraId="00000039">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p w:rsidR="00000000" w:rsidDel="00000000" w:rsidP="00000000" w:rsidRDefault="00000000" w:rsidRPr="00000000" w14:paraId="0000003B">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Incorporated Terms </w:t>
            </w:r>
          </w:p>
          <w:p w:rsidR="00000000" w:rsidDel="00000000" w:rsidP="00000000" w:rsidRDefault="00000000" w:rsidRPr="00000000" w14:paraId="0000003E">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ind w:left="31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40">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ind w:left="3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ind w:left="318"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Framework Special Terms (see Section 10 ‘Framework Special Terms’ in this Framework Award Form)</w:t>
            </w:r>
          </w:p>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 (Definitions) </w:t>
            </w:r>
            <w:r w:rsidDel="00000000" w:rsidR="00000000" w:rsidRPr="00000000">
              <w:rPr>
                <w:rFonts w:ascii="Arial" w:cs="Arial" w:eastAsia="Arial" w:hAnsi="Arial"/>
                <w:sz w:val="24"/>
                <w:szCs w:val="24"/>
                <w:highlight w:val="white"/>
                <w:rtl w:val="0"/>
              </w:rPr>
              <w:t xml:space="preserve">RM6261</w:t>
            </w:r>
            <w:r w:rsidDel="00000000" w:rsidR="00000000" w:rsidRPr="00000000">
              <w:rPr>
                <w:rtl w:val="0"/>
              </w:rPr>
            </w:r>
          </w:p>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11 (Processing Data) RM6261</w:t>
            </w:r>
          </w:p>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Schedules for RM6261 (in equal order of precedence):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1 (Specification) </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3 (Framework Prices and Catalogue)</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4 (Framework Management)</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5 (Management Charges and Information)</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 (Transparency Reports)</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2 (Staff Transfer)</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3 (Continuous Improvement)</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4 (Call-Off Tender)</w:t>
              <w:tab/>
              <w:tab/>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5 </w:t>
            </w:r>
            <w:r w:rsidDel="00000000" w:rsidR="00000000" w:rsidRPr="00000000">
              <w:rPr>
                <w:rFonts w:ascii="Arial" w:cs="Arial" w:eastAsia="Arial" w:hAnsi="Arial"/>
                <w:i w:val="1"/>
                <w:sz w:val="24"/>
                <w:szCs w:val="24"/>
                <w:highlight w:val="white"/>
                <w:rtl w:val="0"/>
              </w:rPr>
              <w:t xml:space="preserve">(</w:t>
            </w:r>
            <w:r w:rsidDel="00000000" w:rsidR="00000000" w:rsidRPr="00000000">
              <w:rPr>
                <w:rFonts w:ascii="Arial" w:cs="Arial" w:eastAsia="Arial" w:hAnsi="Arial"/>
                <w:sz w:val="24"/>
                <w:szCs w:val="24"/>
                <w:highlight w:val="white"/>
                <w:rtl w:val="0"/>
              </w:rPr>
              <w:t xml:space="preserve">Pricing Details)</w:t>
              <w:tab/>
              <w:t xml:space="preserve">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6 (ICT Services) </w:t>
              <w:tab/>
              <w:tab/>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7 (Key Supplier Staff)</w:t>
              <w:tab/>
              <w:tab/>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8 (Business Continuity and Disaster Recovery) </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9 (Security)</w:t>
              <w:tab/>
              <w:tab/>
              <w:t xml:space="preserve"> </w:t>
              <w:tab/>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10 (Exit Management) </w:t>
              <w:tab/>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11 (Installation Works) </w:t>
              <w:tab/>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12 (Clustering) </w:t>
              <w:tab/>
              <w:tab/>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13 (Implementation Plan and Testing)]</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14 (Service Levels) </w:t>
              <w:tab/>
              <w:tab/>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15 (Call-Off Contract Management)]</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16 (Benchmarking) </w:t>
              <w:tab/>
              <w:tab/>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17 (MOD Terms) </w:t>
              <w:tab/>
              <w:tab/>
              <w:t xml:space="preserve">         </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18 (Background Checks) </w:t>
              <w:tab/>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19 (Scottish Law)</w:t>
              <w:tab/>
              <w:tab/>
              <w:t xml:space="preserve">    </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20 (Call-Off Specification)    </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21 (Northern Ireland Law)   </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22 (Lease Terms)                 </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23 (HMRC Terms)</w:t>
              <w:tab/>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24 (Supplier Furnished Terms)                </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ffff00" w:val="clear"/>
              <w:spacing w:after="0" w:line="259" w:lineRule="auto"/>
              <w:ind w:left="216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ab/>
              <w:tab/>
              <w:tab/>
              <w:tab/>
              <w:t xml:space="preserve">   </w:t>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7 (Call-Off Award Procedure)</w:t>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8 (Self Audit Certificate)</w:t>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Framework Schedule 9 (Cyber Essentials Scheme) </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2 (Variation Form)</w:t>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3 (Insurance Requirements)</w:t>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4 (Commercially Sensitive Information)</w:t>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6 (Key Subcontractors)</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7 (Financial Difficulties)</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8 (Guarantee)</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9 (Minimum Standards of Reliability)</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10 (Rectification Plan)</w:t>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Joint Schedule 12 (Supply Chain Visibility)</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CCS Core Terms (version 3.0.11)</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5 (Corporate Social Responsibility) RM6261</w:t>
            </w:r>
          </w:p>
          <w:p w:rsidR="00000000" w:rsidDel="00000000" w:rsidP="00000000" w:rsidRDefault="00000000" w:rsidRPr="00000000" w14:paraId="0000008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2 (Framework Tender) RM6261 as long as any part of the Framework Tender that offers a better commercial position for CCS or Buyers (as decided by CCS) take precedence over the documents above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r>
      <w:tr>
        <w:trPr>
          <w:cantSplit w:val="0"/>
          <w:trHeight w:val="1279" w:hRule="atLeast"/>
          <w:tblHeader w:val="0"/>
        </w:trPr>
        <w:tc>
          <w:tcPr/>
          <w:p w:rsidR="00000000" w:rsidDel="00000000" w:rsidP="00000000" w:rsidRDefault="00000000" w:rsidRPr="00000000" w14:paraId="0000008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Special Terms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88">
            <w:pPr>
              <w:rPr>
                <w:rFonts w:ascii="Arial" w:cs="Arial" w:eastAsia="Arial" w:hAnsi="Arial"/>
                <w:sz w:val="24"/>
                <w:szCs w:val="24"/>
              </w:rPr>
            </w:pPr>
            <w:r w:rsidDel="00000000" w:rsidR="00000000" w:rsidRPr="00000000">
              <w:rPr>
                <w:rtl w:val="0"/>
              </w:rPr>
            </w:r>
          </w:p>
          <w:tbl>
            <w:tblPr>
              <w:tblStyle w:val="Table3"/>
              <w:tblW w:w="78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6720"/>
              <w:tblGridChange w:id="0">
                <w:tblGrid>
                  <w:gridCol w:w="1110"/>
                  <w:gridCol w:w="6720"/>
                </w:tblGrid>
              </w:tblGridChange>
            </w:tblGrid>
            <w:tr>
              <w:trPr>
                <w:cantSplit w:val="0"/>
                <w:trHeight w:val="1115" w:hRule="atLeast"/>
                <w:tblHeader w:val="0"/>
              </w:trPr>
              <w:tc>
                <w:tcPr>
                  <w:tcBorders>
                    <w:top w:color="000000" w:space="0" w:sz="4"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A">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 new Clause 2.11:</w:t>
                  </w:r>
                </w:p>
                <w:p w:rsidR="00000000" w:rsidDel="00000000" w:rsidP="00000000" w:rsidRDefault="00000000" w:rsidRPr="00000000" w14:paraId="0000008B">
                  <w:pPr>
                    <w:widowControl w:val="0"/>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Supplier shall operate the Catalogue in accordance with Framework Schedule 1 (Specification).”</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C">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D">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3.2.2 of the Core Terms shall be deleted and replaced with the following:</w:t>
                  </w:r>
                </w:p>
                <w:p w:rsidR="00000000" w:rsidDel="00000000" w:rsidP="00000000" w:rsidRDefault="00000000" w:rsidRPr="00000000" w14:paraId="0000008E">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used.”</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0">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3.2.11 of the Core Terms shall be deleted and replaced with the following:</w:t>
                  </w:r>
                </w:p>
                <w:p w:rsidR="00000000" w:rsidDel="00000000" w:rsidP="00000000" w:rsidRDefault="00000000" w:rsidRPr="00000000" w14:paraId="00000091">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used.”</w:t>
                  </w:r>
                </w:p>
                <w:p w:rsidR="00000000" w:rsidDel="00000000" w:rsidP="00000000" w:rsidRDefault="00000000" w:rsidRPr="00000000" w14:paraId="00000092">
                  <w:pPr>
                    <w:widowControl w:val="0"/>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4">
                  <w:pPr>
                    <w:widowControl w:val="0"/>
                    <w:spacing w:after="0" w:before="240" w:lineRule="auto"/>
                    <w:rPr>
                      <w:rFonts w:ascii="Roboto" w:cs="Roboto" w:eastAsia="Roboto" w:hAnsi="Roboto"/>
                      <w:sz w:val="20"/>
                      <w:szCs w:val="20"/>
                      <w:highlight w:val="white"/>
                    </w:rPr>
                  </w:pPr>
                  <w:r w:rsidDel="00000000" w:rsidR="00000000" w:rsidRPr="00000000">
                    <w:rPr>
                      <w:rFonts w:ascii="Arial" w:cs="Arial" w:eastAsia="Arial" w:hAnsi="Arial"/>
                      <w:sz w:val="24"/>
                      <w:szCs w:val="24"/>
                      <w:rtl w:val="0"/>
                    </w:rPr>
                    <w:t xml:space="preserve">Clause 7.4 of the Core Terms shall be deleted and replaced with the following;</w:t>
                  </w:r>
                  <w:r w:rsidDel="00000000" w:rsidR="00000000" w:rsidRPr="00000000">
                    <w:rPr>
                      <w:rtl w:val="0"/>
                    </w:rPr>
                  </w:r>
                </w:p>
                <w:p w:rsidR="00000000" w:rsidDel="00000000" w:rsidP="00000000" w:rsidRDefault="00000000" w:rsidRPr="00000000" w14:paraId="00000095">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”If requested, the Supplier will provide a list of Supplier Staff needing access to the Buyer's Premises”</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6">
                  <w:pPr>
                    <w:widowControl w:val="0"/>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Special Term 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7">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8.7 of the Core Terms shall be deleted and replaced with the following:</w:t>
                  </w:r>
                </w:p>
                <w:p w:rsidR="00000000" w:rsidDel="00000000" w:rsidP="00000000" w:rsidRDefault="00000000" w:rsidRPr="00000000" w14:paraId="00000098">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“The Supplier shall assign to the Buyer, or if it is unable to do so, shall (to the extent it is legally able to do so) hold on trust for the sole benefit of the Buyer, those warranties and indemnities provided by third parties that are specifically associated with and particular to the Deliverables provided to the Buyer. Where any such warranties are held on trust, the Supplier shall enforce such warranties as required by the Supplier on the Buyer’s behalf in order to provide the Services and shall do so in accordance with any reasonable directions that the Buyer may notify from time to time to the Supplier.</w:t>
                  </w:r>
                  <w:r w:rsidDel="00000000" w:rsidR="00000000" w:rsidRPr="00000000">
                    <w:rPr>
                      <w:rFonts w:ascii="Arial" w:cs="Arial" w:eastAsia="Arial" w:hAnsi="Arial"/>
                      <w:sz w:val="24"/>
                      <w:szCs w:val="24"/>
                      <w:rtl w:val="0"/>
                    </w:rPr>
                    <w:t xml:space="preserve">”</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9">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A">
                  <w:pPr>
                    <w:rPr/>
                  </w:pPr>
                  <w:r w:rsidDel="00000000" w:rsidR="00000000" w:rsidRPr="00000000">
                    <w:rPr>
                      <w:rtl w:val="0"/>
                    </w:rPr>
                    <w:t xml:space="preserve">Clause 10.2.2 of the Core Terms shall be deleted and replaced with the following:</w:t>
                  </w:r>
                </w:p>
                <w:p w:rsidR="00000000" w:rsidDel="00000000" w:rsidP="00000000" w:rsidRDefault="00000000" w:rsidRPr="00000000" w14:paraId="0000009B">
                  <w:pPr>
                    <w:widowControl w:val="0"/>
                    <w:spacing w:after="0" w:before="240" w:lineRule="auto"/>
                    <w:rPr>
                      <w:rFonts w:ascii="Arial" w:cs="Arial" w:eastAsia="Arial" w:hAnsi="Arial"/>
                      <w:sz w:val="24"/>
                      <w:szCs w:val="24"/>
                    </w:rPr>
                  </w:pPr>
                  <w:r w:rsidDel="00000000" w:rsidR="00000000" w:rsidRPr="00000000">
                    <w:rPr>
                      <w:rtl w:val="0"/>
                    </w:rPr>
                    <w:t xml:space="preserve">“Each Buyer has the right to terminate their Call-Off Contract at any time by giving the Supplier not less than the minimum period of notice specified in the Order Form. Under such circumstances the Buyer agrees to pay the Supplier’s reasonable and proven unavoidable Losses resulting from termination of the Call- Off Contract, provided that the Supplier takes all reasonable steps to minimise such Losses. The Supplier will give the Customer a fully itemised list of such Losses, with supporting evidence, to support their claim for payment.  After the Call-Off Contract ends Clauses 10.6.1 to 10.6.5 will apply.</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C">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7</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D">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11.2 of the Core Terms shall be amended as follows:</w:t>
                  </w:r>
                </w:p>
                <w:p w:rsidR="00000000" w:rsidDel="00000000" w:rsidP="00000000" w:rsidRDefault="00000000" w:rsidRPr="00000000" w14:paraId="0000009E">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words “£5 million” shall be deleted and replaced with the words “£1 million”</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F">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0">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Clause 14.1 of the Core Terms shall be  deleted and replaced with the following:</w:t>
                  </w:r>
                </w:p>
                <w:p w:rsidR="00000000" w:rsidDel="00000000" w:rsidP="00000000" w:rsidRDefault="00000000" w:rsidRPr="00000000" w14:paraId="000000A1">
                  <w:pPr>
                    <w:widowControl w:val="0"/>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Parties acknowledge that for the purposes of the Data Protection Legislation, the Relevant Authority is the Controller and the Supplier is the Processor unless otherwise specified in Joint Schedule 11. The Supplier must process Personal Data and ensure that Supplier Staff process Personal Data only in accordance with Joint Schedule 11 (Processing Data).”</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3">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shall replace Clause 14.4  of the Core Terms:</w:t>
                  </w:r>
                </w:p>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 “The Supplier shall ensure that any system on which the Supplier holds any Government Data, including back-up data, is a secure system</w:t>
                  </w:r>
                  <w:r w:rsidDel="00000000" w:rsidR="00000000" w:rsidRPr="00000000">
                    <w:rPr>
                      <w:rFonts w:ascii="Calibri" w:cs="Calibri" w:eastAsia="Calibri" w:hAnsi="Calibri"/>
                      <w:sz w:val="23"/>
                      <w:szCs w:val="23"/>
                      <w:highlight w:val="white"/>
                      <w:rtl w:val="0"/>
                    </w:rPr>
                    <w:t xml:space="preserve"> </w:t>
                  </w:r>
                  <w:r w:rsidDel="00000000" w:rsidR="00000000" w:rsidRPr="00000000">
                    <w:rPr>
                      <w:rFonts w:ascii="Arial" w:cs="Arial" w:eastAsia="Arial" w:hAnsi="Arial"/>
                      <w:sz w:val="24"/>
                      <w:szCs w:val="24"/>
                      <w:highlight w:val="white"/>
                      <w:rtl w:val="0"/>
                    </w:rPr>
                    <w:t xml:space="preserve">that complies with the Security Policy and any applicable Security Management </w:t>
                  </w:r>
                  <w:r w:rsidDel="00000000" w:rsidR="00000000" w:rsidRPr="00000000">
                    <w:rPr>
                      <w:rFonts w:ascii="Arial" w:cs="Arial" w:eastAsia="Arial" w:hAnsi="Arial"/>
                      <w:sz w:val="24"/>
                      <w:szCs w:val="24"/>
                      <w:rtl w:val="0"/>
                    </w:rPr>
                    <w:t xml:space="preserve">and for Call-Off Contracts that it will comply with the relevant Buyer’s requirements in respect of Call-Off Schedule 9.”</w:t>
                  </w:r>
                  <w:r w:rsidDel="00000000" w:rsidR="00000000" w:rsidRPr="00000000">
                    <w:rPr>
                      <w:rFonts w:ascii="Calibri" w:cs="Calibri" w:eastAsia="Calibri" w:hAnsi="Calibri"/>
                      <w:sz w:val="23"/>
                      <w:szCs w:val="23"/>
                      <w:highlight w:val="white"/>
                      <w:rtl w:val="0"/>
                    </w:rPr>
                    <w:t xml:space="preserve">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5">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6">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text shall be inserted at the end of Clause 24.2 of the Core Terms:</w:t>
                  </w:r>
                </w:p>
                <w:p w:rsidR="00000000" w:rsidDel="00000000" w:rsidP="00000000" w:rsidRDefault="00000000" w:rsidRPr="00000000" w14:paraId="000000A7">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needs resources other than those ordinarily used in the provision of the Service in order to complete an Impact Assessment requested by the Buyer, the Supplier must tell the Buyer before beginning the Impact Assessment.  If the Buyer wants the Impact Assessment to go ahead, the Buyer shall pay any reasonable costs incurred by the Supplier in producing the Impact Assessment.  To be clear, the Supplier will not be able to recover costs incurred during the Impact Assessment that the Buyer didn’t agree to before the Impact Assessment began.”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8">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11</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9">
                  <w:pPr>
                    <w:widowControl w:val="0"/>
                    <w:spacing w:after="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text shall be inserted at the end of Clause 24 of the Contract:</w:t>
                  </w:r>
                </w:p>
                <w:p w:rsidR="00000000" w:rsidDel="00000000" w:rsidP="00000000" w:rsidRDefault="00000000" w:rsidRPr="00000000" w14:paraId="000000AA">
                  <w:pPr>
                    <w:widowControl w:val="0"/>
                    <w:spacing w:after="0" w:befor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Optional Services</w:t>
                  </w:r>
                </w:p>
                <w:p w:rsidR="00000000" w:rsidDel="00000000" w:rsidP="00000000" w:rsidRDefault="00000000" w:rsidRPr="00000000" w14:paraId="000000AB">
                  <w:pPr>
                    <w:numPr>
                      <w:ilvl w:val="1"/>
                      <w:numId w:val="5"/>
                    </w:numPr>
                    <w:pBdr>
                      <w:top w:space="0" w:sz="0" w:val="nil"/>
                      <w:left w:space="0" w:sz="0" w:val="nil"/>
                      <w:bottom w:space="0" w:sz="0" w:val="nil"/>
                      <w:right w:space="0" w:sz="0" w:val="nil"/>
                      <w:between w:space="0" w:sz="0" w:val="nil"/>
                    </w:pBdr>
                    <w:tabs>
                      <w:tab w:val="left" w:pos="720"/>
                    </w:tabs>
                    <w:spacing w:before="100" w:line="240" w:lineRule="auto"/>
                    <w:ind w:left="612" w:hanging="567"/>
                    <w:rPr/>
                  </w:pPr>
                  <w:bookmarkStart w:colFirst="0" w:colLast="0" w:name="_heading=h.30j0zll" w:id="1"/>
                  <w:bookmarkEnd w:id="1"/>
                  <w:r w:rsidDel="00000000" w:rsidR="00000000" w:rsidRPr="00000000">
                    <w:rPr>
                      <w:rFonts w:ascii="Arial" w:cs="Arial" w:eastAsia="Arial" w:hAnsi="Arial"/>
                      <w:sz w:val="24"/>
                      <w:szCs w:val="24"/>
                      <w:rtl w:val="0"/>
                    </w:rPr>
                    <w:t xml:space="preserve">24.9 The Buyer may from time to time and to the extent permitted by the Regulations require the Supplier to provide any or all of the Optional Services at any time by giving notice to the Supplier in writing.  The Supplier acknowledges that the Buyer is not obliged to take any Optional Services from the Supplier and that nothing shall prevent the Buyer from receiving services that are the same as or similar to the Optional Services from any third party. The Buyer is responsible for ensuring that it has complied with all aspects of the Regulations in requesting and receiving Optional Services from the Supplier. </w:t>
                  </w:r>
                  <w:r w:rsidDel="00000000" w:rsidR="00000000" w:rsidRPr="00000000">
                    <w:rPr>
                      <w:rtl w:val="0"/>
                    </w:rPr>
                  </w:r>
                </w:p>
                <w:p w:rsidR="00000000" w:rsidDel="00000000" w:rsidP="00000000" w:rsidRDefault="00000000" w:rsidRPr="00000000" w14:paraId="000000AC">
                  <w:pPr>
                    <w:numPr>
                      <w:ilvl w:val="1"/>
                      <w:numId w:val="6"/>
                    </w:numPr>
                    <w:pBdr>
                      <w:top w:space="0" w:sz="0" w:val="nil"/>
                      <w:left w:space="0" w:sz="0" w:val="nil"/>
                      <w:bottom w:space="0" w:sz="0" w:val="nil"/>
                      <w:right w:space="0" w:sz="0" w:val="nil"/>
                      <w:between w:space="0" w:sz="0" w:val="nil"/>
                    </w:pBdr>
                    <w:tabs>
                      <w:tab w:val="left" w:pos="720"/>
                    </w:tabs>
                    <w:spacing w:before="100" w:line="240" w:lineRule="auto"/>
                    <w:ind w:left="600" w:hanging="600"/>
                    <w:rPr/>
                  </w:pPr>
                  <w:r w:rsidDel="00000000" w:rsidR="00000000" w:rsidRPr="00000000">
                    <w:rPr>
                      <w:rFonts w:ascii="Arial" w:cs="Arial" w:eastAsia="Arial" w:hAnsi="Arial"/>
                      <w:sz w:val="24"/>
                      <w:szCs w:val="24"/>
                      <w:rtl w:val="0"/>
                    </w:rPr>
                    <w:t xml:space="preserve">If a Variation is requested, the Supplier shall, as part of the Impact Assessment provided by the Supplier in relation to such Variation, provide details of the impact (if any) that the proposed Variation will have on the relevant Optional Services.</w:t>
                  </w:r>
                  <w:r w:rsidDel="00000000" w:rsidR="00000000" w:rsidRPr="00000000">
                    <w:rPr>
                      <w:rtl w:val="0"/>
                    </w:rPr>
                  </w:r>
                </w:p>
                <w:p w:rsidR="00000000" w:rsidDel="00000000" w:rsidP="00000000" w:rsidRDefault="00000000" w:rsidRPr="00000000" w14:paraId="000000AD">
                  <w:pPr>
                    <w:numPr>
                      <w:ilvl w:val="1"/>
                      <w:numId w:val="6"/>
                    </w:numPr>
                    <w:pBdr>
                      <w:top w:space="0" w:sz="0" w:val="nil"/>
                      <w:left w:space="0" w:sz="0" w:val="nil"/>
                      <w:bottom w:space="0" w:sz="0" w:val="nil"/>
                      <w:right w:space="0" w:sz="0" w:val="nil"/>
                      <w:between w:space="0" w:sz="0" w:val="nil"/>
                    </w:pBdr>
                    <w:tabs>
                      <w:tab w:val="left" w:pos="720"/>
                    </w:tabs>
                    <w:spacing w:before="100" w:line="240" w:lineRule="auto"/>
                    <w:ind w:left="600" w:hanging="600"/>
                    <w:rPr/>
                  </w:pPr>
                  <w:bookmarkStart w:colFirst="0" w:colLast="0" w:name="_heading=h.1fob9te" w:id="2"/>
                  <w:bookmarkEnd w:id="2"/>
                  <w:r w:rsidDel="00000000" w:rsidR="00000000" w:rsidRPr="00000000">
                    <w:rPr>
                      <w:rFonts w:ascii="Arial" w:cs="Arial" w:eastAsia="Arial" w:hAnsi="Arial"/>
                      <w:sz w:val="24"/>
                      <w:szCs w:val="24"/>
                      <w:rtl w:val="0"/>
                    </w:rPr>
                    <w:t xml:space="preserve">Following receipt of the Buyer’s notice pursuant to Clause 24.9: </w:t>
                  </w:r>
                  <w:r w:rsidDel="00000000" w:rsidR="00000000" w:rsidRPr="00000000">
                    <w:rPr>
                      <w:rtl w:val="0"/>
                    </w:rPr>
                  </w:r>
                </w:p>
                <w:p w:rsidR="00000000" w:rsidDel="00000000" w:rsidP="00000000" w:rsidRDefault="00000000" w:rsidRPr="00000000" w14:paraId="000000AE">
                  <w:pPr>
                    <w:numPr>
                      <w:ilvl w:val="3"/>
                      <w:numId w:val="5"/>
                    </w:numPr>
                    <w:pBdr>
                      <w:top w:space="0" w:sz="0" w:val="nil"/>
                      <w:left w:space="0" w:sz="0" w:val="nil"/>
                      <w:bottom w:space="0" w:sz="0" w:val="nil"/>
                      <w:right w:space="0" w:sz="0" w:val="nil"/>
                      <w:between w:space="0" w:sz="0" w:val="nil"/>
                    </w:pBdr>
                    <w:tabs>
                      <w:tab w:val="left" w:pos="1803"/>
                    </w:tabs>
                    <w:spacing w:before="100" w:line="240" w:lineRule="auto"/>
                    <w:ind w:left="1803" w:hanging="1083"/>
                    <w:rPr/>
                  </w:pPr>
                  <w:r w:rsidDel="00000000" w:rsidR="00000000" w:rsidRPr="00000000">
                    <w:rPr>
                      <w:rFonts w:ascii="Arial" w:cs="Arial" w:eastAsia="Arial" w:hAnsi="Arial"/>
                      <w:sz w:val="24"/>
                      <w:szCs w:val="24"/>
                      <w:rtl w:val="0"/>
                    </w:rPr>
                    <w:t xml:space="preserve">the Parties shall document the inclusion of the relevant Optional Services within the Services in accordance with the Variation Procedure, modified to reflect the fact that the terms and conditions on which the Supplier shall provide the relevant Optional Services have already been agreed;</w:t>
                  </w:r>
                  <w:r w:rsidDel="00000000" w:rsidR="00000000" w:rsidRPr="00000000">
                    <w:rPr>
                      <w:rtl w:val="0"/>
                    </w:rPr>
                  </w:r>
                </w:p>
                <w:p w:rsidR="00000000" w:rsidDel="00000000" w:rsidP="00000000" w:rsidRDefault="00000000" w:rsidRPr="00000000" w14:paraId="000000AF">
                  <w:pPr>
                    <w:numPr>
                      <w:ilvl w:val="3"/>
                      <w:numId w:val="5"/>
                    </w:numPr>
                    <w:pBdr>
                      <w:top w:space="0" w:sz="0" w:val="nil"/>
                      <w:left w:space="0" w:sz="0" w:val="nil"/>
                      <w:bottom w:space="0" w:sz="0" w:val="nil"/>
                      <w:right w:space="0" w:sz="0" w:val="nil"/>
                      <w:between w:space="0" w:sz="0" w:val="nil"/>
                    </w:pBdr>
                    <w:tabs>
                      <w:tab w:val="left" w:pos="1803"/>
                    </w:tabs>
                    <w:spacing w:before="100" w:line="240" w:lineRule="auto"/>
                    <w:ind w:left="1803" w:hanging="1083"/>
                    <w:rPr/>
                  </w:pPr>
                  <w:r w:rsidDel="00000000" w:rsidR="00000000" w:rsidRPr="00000000">
                    <w:rPr>
                      <w:rFonts w:ascii="Arial" w:cs="Arial" w:eastAsia="Arial" w:hAnsi="Arial"/>
                      <w:sz w:val="24"/>
                      <w:szCs w:val="24"/>
                      <w:rtl w:val="0"/>
                    </w:rPr>
                    <w:t xml:space="preserve">the Supplier shall implement and Test the relevant Optional Services in accordance with the Optional Services Implementation Plan; </w:t>
                  </w:r>
                  <w:r w:rsidDel="00000000" w:rsidR="00000000" w:rsidRPr="00000000">
                    <w:rPr>
                      <w:rtl w:val="0"/>
                    </w:rPr>
                  </w:r>
                </w:p>
                <w:p w:rsidR="00000000" w:rsidDel="00000000" w:rsidP="00000000" w:rsidRDefault="00000000" w:rsidRPr="00000000" w14:paraId="000000B0">
                  <w:pPr>
                    <w:numPr>
                      <w:ilvl w:val="3"/>
                      <w:numId w:val="5"/>
                    </w:numPr>
                    <w:pBdr>
                      <w:top w:space="0" w:sz="0" w:val="nil"/>
                      <w:left w:space="0" w:sz="0" w:val="nil"/>
                      <w:bottom w:space="0" w:sz="0" w:val="nil"/>
                      <w:right w:space="0" w:sz="0" w:val="nil"/>
                      <w:between w:space="0" w:sz="0" w:val="nil"/>
                    </w:pBdr>
                    <w:tabs>
                      <w:tab w:val="left" w:pos="1803"/>
                    </w:tabs>
                    <w:spacing w:before="100" w:line="240" w:lineRule="auto"/>
                    <w:ind w:left="1803" w:hanging="1083"/>
                    <w:rPr/>
                  </w:pPr>
                  <w:r w:rsidDel="00000000" w:rsidR="00000000" w:rsidRPr="00000000">
                    <w:rPr>
                      <w:rFonts w:ascii="Arial" w:cs="Arial" w:eastAsia="Arial" w:hAnsi="Arial"/>
                      <w:sz w:val="24"/>
                      <w:szCs w:val="24"/>
                      <w:rtl w:val="0"/>
                    </w:rPr>
                    <w:t xml:space="preserve">any additional charges for the Optional Services shall be incorporated in the Charges;</w:t>
                  </w:r>
                  <w:r w:rsidDel="00000000" w:rsidR="00000000" w:rsidRPr="00000000">
                    <w:rPr>
                      <w:rtl w:val="0"/>
                    </w:rPr>
                  </w:r>
                </w:p>
                <w:p w:rsidR="00000000" w:rsidDel="00000000" w:rsidP="00000000" w:rsidRDefault="00000000" w:rsidRPr="00000000" w14:paraId="000000B1">
                  <w:pPr>
                    <w:numPr>
                      <w:ilvl w:val="3"/>
                      <w:numId w:val="5"/>
                    </w:numPr>
                    <w:pBdr>
                      <w:top w:space="0" w:sz="0" w:val="nil"/>
                      <w:left w:space="0" w:sz="0" w:val="nil"/>
                      <w:bottom w:space="0" w:sz="0" w:val="nil"/>
                      <w:right w:space="0" w:sz="0" w:val="nil"/>
                      <w:between w:space="0" w:sz="0" w:val="nil"/>
                    </w:pBdr>
                    <w:tabs>
                      <w:tab w:val="left" w:pos="1803"/>
                    </w:tabs>
                    <w:spacing w:before="100" w:line="240" w:lineRule="auto"/>
                    <w:ind w:left="1803" w:hanging="1083"/>
                    <w:rPr/>
                  </w:pPr>
                  <w:r w:rsidDel="00000000" w:rsidR="00000000" w:rsidRPr="00000000">
                    <w:rPr>
                      <w:rFonts w:ascii="Arial" w:cs="Arial" w:eastAsia="Arial" w:hAnsi="Arial"/>
                      <w:sz w:val="24"/>
                      <w:szCs w:val="24"/>
                      <w:rtl w:val="0"/>
                    </w:rPr>
                    <w:t xml:space="preserve">the Supplier shall, from the date agreed by the Parties in writing, provide the relevant Optional Services to meet or exceed the Performance Indicators applicable to the Optional Services (if relevant).</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720"/>
                    </w:tabs>
                    <w:spacing w:before="100" w:line="240" w:lineRule="auto"/>
                    <w:ind w:left="720" w:hanging="72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B3">
            <w:pPr>
              <w:rPr>
                <w:rFonts w:ascii="Arial" w:cs="Arial" w:eastAsia="Arial" w:hAnsi="Arial"/>
                <w:sz w:val="24"/>
                <w:szCs w:val="24"/>
              </w:rPr>
            </w:pPr>
            <w:r w:rsidDel="00000000" w:rsidR="00000000" w:rsidRPr="00000000">
              <w:rPr>
                <w:rtl w:val="0"/>
              </w:rPr>
            </w:r>
          </w:p>
        </w:tc>
      </w:tr>
      <w:tr>
        <w:trPr>
          <w:cantSplit w:val="0"/>
          <w:trHeight w:val="2419" w:hRule="atLeast"/>
          <w:tblHeader w:val="0"/>
        </w:trPr>
        <w:tc>
          <w:tcPr/>
          <w:p w:rsidR="00000000" w:rsidDel="00000000" w:rsidP="00000000" w:rsidRDefault="00000000" w:rsidRPr="00000000" w14:paraId="000000B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Prices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Details in Framework Schedule 3 (Framework Prices)</w:t>
            </w:r>
            <w:r w:rsidDel="00000000" w:rsidR="00000000" w:rsidRPr="00000000">
              <w:rPr>
                <w:rtl w:val="0"/>
              </w:rPr>
            </w:r>
          </w:p>
        </w:tc>
      </w:tr>
      <w:tr>
        <w:trPr>
          <w:cantSplit w:val="0"/>
          <w:trHeight w:val="804" w:hRule="atLeast"/>
          <w:tblHeader w:val="0"/>
        </w:trPr>
        <w:tc>
          <w:tcPr/>
          <w:p w:rsidR="00000000" w:rsidDel="00000000" w:rsidP="00000000" w:rsidRDefault="00000000" w:rsidRPr="00000000" w14:paraId="000000B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Details in Annex of Joint Schedule 3 (Insurance Requirements).</w:t>
            </w:r>
            <w:r w:rsidDel="00000000" w:rsidR="00000000" w:rsidRPr="00000000">
              <w:rPr>
                <w:rtl w:val="0"/>
              </w:rPr>
            </w:r>
          </w:p>
        </w:tc>
      </w:tr>
      <w:tr>
        <w:trPr>
          <w:cantSplit w:val="0"/>
          <w:trHeight w:val="2419" w:hRule="atLeast"/>
          <w:tblHeader w:val="0"/>
        </w:trPr>
        <w:tc>
          <w:tcPr/>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Essentials Certification</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Cyber Essentials Scheme Certificate (or equivalent). Suppliers on Lots 1 and 2 must provide evidence of their CE certificate to be awarded to the framework. Suppliers on Lots 3 and 4 do not need to have CE to be awarded to the framework but will need it by the time of entering into a Call Off Contract. Details in Framework Schedule 9 (Cyber Essentials Scheme)</w:t>
            </w:r>
          </w:p>
        </w:tc>
      </w:tr>
      <w:tr>
        <w:trPr>
          <w:cantSplit w:val="0"/>
          <w:trHeight w:val="731" w:hRule="atLeast"/>
          <w:tblHeader w:val="0"/>
        </w:trPr>
        <w:tc>
          <w:tcPr/>
          <w:p w:rsidR="00000000" w:rsidDel="00000000" w:rsidP="00000000" w:rsidRDefault="00000000" w:rsidRPr="00000000" w14:paraId="000000B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Charge</w:t>
            </w:r>
          </w:p>
        </w:tc>
        <w:tc>
          <w:tcPr/>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excluding VAT,</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1 </w:t>
            </w:r>
            <w:r w:rsidDel="00000000" w:rsidR="00000000" w:rsidRPr="00000000">
              <w:rPr>
                <w:rFonts w:ascii="Arial" w:cs="Arial" w:eastAsia="Arial" w:hAnsi="Arial"/>
                <w:sz w:val="24"/>
                <w:szCs w:val="24"/>
                <w:rtl w:val="0"/>
              </w:rPr>
              <w:t xml:space="preserve">%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C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Manager</w:t>
            </w:r>
          </w:p>
        </w:tc>
        <w:tc>
          <w:tcPr/>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Authorised Representative</w:t>
            </w:r>
          </w:p>
        </w:tc>
        <w:tc>
          <w:tcPr/>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Compliance Officer</w:t>
            </w:r>
          </w:p>
        </w:tc>
        <w:tc>
          <w:tcPr/>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Data Protection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w:t>
            </w:r>
          </w:p>
        </w:tc>
        <w:tc>
          <w:tcPr/>
          <w:p w:rsidR="00000000" w:rsidDel="00000000" w:rsidP="00000000" w:rsidRDefault="00000000" w:rsidRPr="00000000" w14:paraId="000000D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 Protection Liability Cap</w:t>
            </w:r>
          </w:p>
        </w:tc>
        <w:tc>
          <w:tcPr/>
          <w:p w:rsidR="00000000" w:rsidDel="00000000" w:rsidP="00000000" w:rsidRDefault="00000000" w:rsidRPr="00000000" w14:paraId="000000E0">
            <w:pPr>
              <w:rPr>
                <w:rFonts w:ascii="Arial" w:cs="Arial" w:eastAsia="Arial" w:hAnsi="Arial"/>
                <w:sz w:val="24"/>
                <w:szCs w:val="24"/>
              </w:rPr>
            </w:pPr>
            <w:r w:rsidDel="00000000" w:rsidR="00000000" w:rsidRPr="00000000">
              <w:rPr>
                <w:rFonts w:ascii="Arial" w:cs="Arial" w:eastAsia="Arial" w:hAnsi="Arial"/>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E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Marketing Contact</w:t>
            </w:r>
          </w:p>
        </w:tc>
        <w:tc>
          <w:tcPr/>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E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tc>
        <w:tc>
          <w:tcPr>
            <w:shd w:fill="auto" w:val="clear"/>
          </w:tcPr>
          <w:p w:rsidR="00000000" w:rsidDel="00000000" w:rsidP="00000000" w:rsidRDefault="00000000" w:rsidRPr="00000000" w14:paraId="000000EA">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EB">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C">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ED">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EE">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CCS </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ind w:left="31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Authorised Representative</w:t>
            </w:r>
          </w:p>
        </w:tc>
        <w:tc>
          <w:tcPr/>
          <w:p w:rsidR="00000000" w:rsidDel="00000000" w:rsidP="00000000" w:rsidRDefault="00000000" w:rsidRPr="00000000" w14:paraId="000000F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F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F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tbl>
      <w:tblPr>
        <w:tblStyle w:val="Table4"/>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0C">
      <w:pPr>
        <w:pBdr>
          <w:top w:space="0" w:sz="0" w:val="nil"/>
          <w:left w:space="0" w:sz="0" w:val="nil"/>
          <w:bottom w:space="0" w:sz="0" w:val="nil"/>
          <w:right w:space="0" w:sz="0" w:val="nil"/>
          <w:between w:space="0" w:sz="0" w:val="nil"/>
        </w:pBdr>
        <w:ind w:left="792" w:firstLine="0"/>
        <w:rPr>
          <w:rFonts w:ascii="Arial" w:cs="Arial" w:eastAsia="Arial" w:hAnsi="Arial"/>
          <w:i w:val="1"/>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sectPr>
      <w:headerReference r:id="rId13" w:type="default"/>
      <w:headerReference r:id="rId14" w:type="first"/>
      <w:footerReference r:id="rId15" w:type="default"/>
      <w:footerReference r:id="rId16" w:type="first"/>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A">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C">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1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4">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Award Form</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2022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w:t>
    </w:r>
    <w:r w:rsidDel="00000000" w:rsidR="00000000" w:rsidRPr="00000000">
      <w:rPr>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decimal"/>
      <w:lvlText w:val="%1"/>
      <w:lvlJc w:val="left"/>
      <w:pPr>
        <w:ind w:left="720" w:hanging="720"/>
      </w:pPr>
      <w:rPr/>
    </w:lvl>
    <w:lvl w:ilvl="1">
      <w:start w:val="1"/>
      <w:numFmt w:val="lowerLetter"/>
      <w:lvlText w:val="(%2)"/>
      <w:lvlJc w:val="left"/>
      <w:pPr>
        <w:ind w:left="720" w:hanging="720"/>
      </w:pPr>
      <w:rPr>
        <w:rFonts w:ascii="Arial" w:cs="Arial" w:eastAsia="Arial" w:hAnsi="Arial"/>
        <w:b w:val="0"/>
      </w:rPr>
    </w:lvl>
    <w:lvl w:ilvl="2">
      <w:start w:val="1"/>
      <w:numFmt w:val="decimal"/>
      <w:lvlText w:val="%1.%2.%3"/>
      <w:lvlJc w:val="left"/>
      <w:pPr>
        <w:ind w:left="1803" w:hanging="1083"/>
      </w:pPr>
      <w:rPr/>
    </w:lvl>
    <w:lvl w:ilvl="3">
      <w:start w:val="1"/>
      <w:numFmt w:val="lowerLetter"/>
      <w:lvlText w:val="(%4)"/>
      <w:lvlJc w:val="left"/>
      <w:pPr>
        <w:ind w:left="1803" w:hanging="1083"/>
      </w:pPr>
      <w:rPr>
        <w:rFonts w:ascii="Arial" w:cs="Arial" w:eastAsia="Arial" w:hAnsi="Arial"/>
        <w:b w:val="0"/>
        <w:sz w:val="24"/>
        <w:szCs w:val="24"/>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6">
    <w:lvl w:ilvl="0">
      <w:start w:val="24"/>
      <w:numFmt w:val="decimal"/>
      <w:lvlText w:val="%1"/>
      <w:lvlJc w:val="left"/>
      <w:pPr>
        <w:ind w:left="600" w:hanging="600"/>
      </w:pPr>
      <w:rPr/>
    </w:lvl>
    <w:lvl w:ilvl="1">
      <w:start w:val="10"/>
      <w:numFmt w:val="decimal"/>
      <w:lvlText w:val="%1.%2"/>
      <w:lvlJc w:val="left"/>
      <w:pPr>
        <w:ind w:left="600" w:hanging="60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2E4AF0"/>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5"/>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Level1" w:customStyle="1">
    <w:name w:val="Level 1"/>
    <w:basedOn w:val="Normal"/>
    <w:next w:val="Normal"/>
    <w:qFormat w:val="1"/>
    <w:rsid w:val="0024723A"/>
    <w:pPr>
      <w:numPr>
        <w:numId w:val="7"/>
      </w:numPr>
      <w:tabs>
        <w:tab w:val="left" w:pos="720"/>
      </w:tabs>
      <w:suppressAutoHyphens w:val="0"/>
      <w:spacing w:before="100" w:line="240" w:lineRule="auto"/>
    </w:pPr>
    <w:rPr>
      <w:rFonts w:ascii="Arial" w:cs="Times New Roman" w:eastAsia="Times New Roman" w:hAnsi="Arial"/>
      <w:b w:val="1"/>
      <w:sz w:val="24"/>
      <w:szCs w:val="24"/>
      <w:u w:val="single"/>
      <w:lang w:eastAsia="en-GB"/>
    </w:rPr>
  </w:style>
  <w:style w:type="paragraph" w:styleId="Level2" w:customStyle="1">
    <w:name w:val="Level 2"/>
    <w:basedOn w:val="Level1"/>
    <w:next w:val="Normal"/>
    <w:rsid w:val="0024723A"/>
    <w:pPr>
      <w:numPr>
        <w:ilvl w:val="1"/>
      </w:numPr>
    </w:pPr>
    <w:rPr>
      <w:b w:val="0"/>
      <w:u w:val="none"/>
    </w:rPr>
  </w:style>
  <w:style w:type="paragraph" w:styleId="Level3" w:customStyle="1">
    <w:name w:val="Level 3"/>
    <w:basedOn w:val="Level2"/>
    <w:next w:val="Normal"/>
    <w:rsid w:val="0024723A"/>
    <w:pPr>
      <w:numPr>
        <w:ilvl w:val="2"/>
      </w:numPr>
      <w:tabs>
        <w:tab w:val="left" w:pos="1803"/>
      </w:tabs>
    </w:pPr>
  </w:style>
  <w:style w:type="paragraph" w:styleId="Level4" w:customStyle="1">
    <w:name w:val="Level 4"/>
    <w:basedOn w:val="Level3"/>
    <w:next w:val="Normal"/>
    <w:rsid w:val="0024723A"/>
    <w:pPr>
      <w:numPr>
        <w:ilvl w:val="3"/>
      </w:numPr>
    </w:pPr>
  </w:style>
  <w:style w:type="paragraph" w:styleId="Level5" w:customStyle="1">
    <w:name w:val="Level 5"/>
    <w:basedOn w:val="Level4"/>
    <w:next w:val="Normal"/>
    <w:rsid w:val="0024723A"/>
    <w:pPr>
      <w:numPr>
        <w:ilvl w:val="4"/>
      </w:numPr>
      <w:tabs>
        <w:tab w:val="left" w:pos="2523"/>
      </w:tabs>
    </w:pPr>
  </w:style>
  <w:style w:type="paragraph" w:styleId="Level6" w:customStyle="1">
    <w:name w:val="Level 6"/>
    <w:basedOn w:val="Level5"/>
    <w:rsid w:val="0024723A"/>
    <w:pPr>
      <w:numPr>
        <w:ilvl w:val="5"/>
      </w:numPr>
      <w:tabs>
        <w:tab w:val="clear" w:pos="2523"/>
      </w:tabs>
    </w:p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100.0" w:type="dxa"/>
        <w:left w:w="115.0" w:type="dxa"/>
        <w:bottom w:w="100.0" w:type="dxa"/>
        <w:right w:w="115.0" w:type="dxa"/>
      </w:tblCellMar>
    </w:tblPr>
  </w:style>
  <w:style w:type="table" w:styleId="Table2">
    <w:basedOn w:val="TableNormal"/>
    <w:rPr>
      <w:color w:val="366091"/>
    </w:rPr>
    <w:tblPr>
      <w:tblStyleRowBandSize w:val="1"/>
      <w:tblStyleColBandSize w:val="1"/>
      <w:tblCellMar>
        <w:top w:w="100.0" w:type="dxa"/>
        <w:left w:w="115.0" w:type="dxa"/>
        <w:bottom w:w="100.0" w:type="dxa"/>
        <w:right w:w="115.0" w:type="dxa"/>
      </w:tblCellMar>
    </w:tblPr>
  </w:style>
  <w:style w:type="table" w:styleId="Table3">
    <w:basedOn w:val="TableNormal"/>
    <w:rPr>
      <w:color w:val="366091"/>
    </w:rPr>
    <w:tblPr>
      <w:tblStyleRowBandSize w:val="1"/>
      <w:tblStyleColBandSize w:val="1"/>
      <w:tblCellMar>
        <w:top w:w="100.0" w:type="dxa"/>
        <w:left w:w="115.0" w:type="dxa"/>
        <w:bottom w:w="100.0" w:type="dxa"/>
        <w:right w:w="115.0" w:type="dxa"/>
      </w:tblCellMar>
    </w:tblPr>
  </w:style>
  <w:style w:type="table" w:styleId="Table4">
    <w:basedOn w:val="TableNormal"/>
    <w:rPr>
      <w:color w:val="366091"/>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footer" Target="footer4.xml"/><Relationship Id="rId14" Type="http://schemas.openxmlformats.org/officeDocument/2006/relationships/header" Target="header3.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4wJtbr4neaVJDqhq8rN0JUcoRg==">AMUW2mXsqeBBeCquV+EMGUZZ+lvLQ5lUKR2OeOgTgYBBHZqKDF4QUeRFy1m1krpjrG5U8tkyUJYF+yTSzp/4sisVigBIqm1r6ht4xC7rHI2Og0Y6gjBBXslQ7lQ+Fd+nhOJDm02D2HojkP/oe6ydQrlnLgBmPibxxoDepfyC4z31Vg7IS/vm89jJeSytP48I3vtnqREssEvGJSOj46BQfzsmvzKcX6NdTNvZCj25Pnsx/B9Jc4nZA9RWthFF0VcUhnbuOGxIl7UhdrJH7XNrTZpIvyfWmFmFH9ZjUp8gE6B7//J+Rf7ruIehOLj7+oLYUTgo7ewQf7hS6bofT0yYn2fM+RL4AHLCZLQp7Y8yWMfJxAdMtinAFMMmxCioaBFKf2pfueEifPG2Ax1xnIyz0qVCHSG9kMTGLBRkBVacsq6erRWwhI5MD0iZw6AwVzKCBS9FzUfvg1h8jHwyDHrih5jebk7t9ZEJhxwKgs/vnJ/QEhlDkd0qQRBH5DqQYANDrxsHKFS9XAbf9fr3ChV3cm0++cXxib8TiuU+JMhCUm1zlY6j69RSrtvuZe0qrPTC7NLbtyzHpf/aItAa9gQofZ+tqZkPR8QPYCqKBcnfkM1VPqbDK3T4JGIC8YxPCFlJgvhLq0Z8oht29gIEfWvGo6pD6htbttVVx2wFQ+94T+qy0Ar9z1XMa+tf9cC4/b3wknUa3cbA7OsXWkEyENoHxrOo32GGSH/XqUcE3UMRHWdyg2bVaDRskIELKiUOa7jhYXr0Iq5ezJnqbXV0ekrXG2Cm9fvcca1OuXzvmY/YaY1psvS7e8SeWj0YVB1HnTXcTgYnbGFM+wX/j+i6O7pyQRpWACnp1XZldtTFkmVPdccdyBLmlPE3pwz8VzhN3Ko11q90DiAXKMIf2F1oq60UJF57fl3r8OjGcb6ICTdL8ivxfdYZKPfUlmWka41qpXlqxu6BxN+mbYtwRJIWIPUVLaOfCNulO4FM7N2YRZMVwgz9Ww998n1A0qzVpb5qIYQfCh/FkKc1lwSJc/d4Lex+AYUsaHtzJ3+K6N0FxF0AEIAVlPIKDNM4a4OQpaYvj5mPYv733D/1X2KBEc+z/nrZXP5KXpazdaHJRnzaJ3mXjkfs3wHt9LSBkJxni5KJX5hIsctbCs+KmPJOVwgzkV3cubI/0xK5g9B8Ww7qVJNNM/rpwBzNVMFkmqymnu1zMRRZBRnsP6tLRbVMYAZ1fF5PofTllA0YW9HjxAheNngTLx2N3RSrQbKeX9266d+VKpYQPQ5m7K4IdZd81oG1xkqCLAbnSqVy1Qfr1cS2ZmvBod/8Ij0utyITLZqPxASKNZcu1UdlhDXXdXf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2022-08-19T15:39:00Z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